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7B1B" w14:textId="2AF00EAA" w:rsidR="005A3F18" w:rsidRPr="002C0621" w:rsidRDefault="00C92908" w:rsidP="002C0621">
      <w:pPr>
        <w:spacing w:before="480"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CB3">
        <w:rPr>
          <w:rFonts w:ascii="Times New Roman" w:hAnsi="Times New Roman" w:cs="Times New Roman"/>
          <w:b/>
          <w:bCs/>
          <w:sz w:val="28"/>
          <w:szCs w:val="28"/>
        </w:rPr>
        <w:t>Ohio Medicaid MCE External Medical Review Bulk Upload Instructions</w:t>
      </w:r>
    </w:p>
    <w:p w14:paraId="57D738B7" w14:textId="74CC5FC3" w:rsidR="00B52A0F" w:rsidRPr="00B52A0F" w:rsidRDefault="005A3F18" w:rsidP="005A3F18">
      <w:pPr>
        <w:rPr>
          <w:rFonts w:ascii="Times New Roman" w:hAnsi="Times New Roman" w:cs="Times New Roman"/>
          <w:sz w:val="24"/>
          <w:szCs w:val="24"/>
        </w:rPr>
      </w:pPr>
      <w:r w:rsidRPr="005A3F18">
        <w:rPr>
          <w:rFonts w:ascii="Times New Roman" w:hAnsi="Times New Roman" w:cs="Times New Roman"/>
          <w:b/>
          <w:bCs/>
          <w:sz w:val="24"/>
          <w:szCs w:val="24"/>
        </w:rPr>
        <w:t xml:space="preserve">Provider Instructions: </w:t>
      </w:r>
      <w:r w:rsidRPr="005A3F18">
        <w:rPr>
          <w:rFonts w:ascii="Times New Roman" w:hAnsi="Times New Roman" w:cs="Times New Roman"/>
          <w:sz w:val="24"/>
          <w:szCs w:val="24"/>
        </w:rPr>
        <w:t xml:space="preserve">Submit your request within 30 calendar days of the </w:t>
      </w:r>
      <w:r w:rsidRPr="00B52A0F">
        <w:rPr>
          <w:rFonts w:ascii="Times New Roman" w:hAnsi="Times New Roman" w:cs="Times New Roman"/>
          <w:sz w:val="24"/>
          <w:szCs w:val="24"/>
        </w:rPr>
        <w:t>Health Plan’s</w:t>
      </w:r>
      <w:r w:rsidR="00B52A0F" w:rsidRPr="00B52A0F">
        <w:rPr>
          <w:rFonts w:ascii="Times New Roman" w:hAnsi="Times New Roman" w:cs="Times New Roman"/>
          <w:sz w:val="24"/>
          <w:szCs w:val="24"/>
        </w:rPr>
        <w:t xml:space="preserve"> (</w:t>
      </w:r>
      <w:r w:rsidRPr="005A3F18">
        <w:rPr>
          <w:rFonts w:ascii="Times New Roman" w:hAnsi="Times New Roman" w:cs="Times New Roman"/>
          <w:sz w:val="24"/>
          <w:szCs w:val="24"/>
        </w:rPr>
        <w:t>MCE</w:t>
      </w:r>
      <w:r w:rsidR="00B52A0F" w:rsidRPr="00B52A0F">
        <w:rPr>
          <w:rFonts w:ascii="Times New Roman" w:hAnsi="Times New Roman" w:cs="Times New Roman"/>
          <w:sz w:val="24"/>
          <w:szCs w:val="24"/>
        </w:rPr>
        <w:t>)</w:t>
      </w:r>
      <w:r w:rsidRPr="005A3F18">
        <w:rPr>
          <w:rFonts w:ascii="Times New Roman" w:hAnsi="Times New Roman" w:cs="Times New Roman"/>
          <w:sz w:val="24"/>
          <w:szCs w:val="24"/>
        </w:rPr>
        <w:t xml:space="preserve"> Provider Internal Appeal or Provider Claim Dispute Resolution decision to deny, limit, reduce, suspend, or terminate a covered service for lack of medical necessity. </w:t>
      </w:r>
      <w:r w:rsidR="006D2CBF">
        <w:rPr>
          <w:rFonts w:ascii="Times New Roman" w:hAnsi="Times New Roman" w:cs="Times New Roman"/>
          <w:sz w:val="24"/>
          <w:szCs w:val="24"/>
        </w:rPr>
        <w:t>E</w:t>
      </w:r>
      <w:r w:rsidRPr="005A3F18">
        <w:rPr>
          <w:rFonts w:ascii="Times New Roman" w:hAnsi="Times New Roman" w:cs="Times New Roman"/>
          <w:sz w:val="24"/>
          <w:szCs w:val="24"/>
        </w:rPr>
        <w:t>xternal Medical Review may also be requested if the MCE has not met the required Provider Internal Appeal or Provider Claim Dispute resolution time frame for a denial based on medical necessity.</w:t>
      </w:r>
    </w:p>
    <w:p w14:paraId="18CD2CF1" w14:textId="5F82B200" w:rsidR="005A3F18" w:rsidRPr="005A3F18" w:rsidRDefault="005A3F18" w:rsidP="005A3F18">
      <w:pPr>
        <w:rPr>
          <w:rFonts w:ascii="Times New Roman" w:hAnsi="Times New Roman" w:cs="Times New Roman"/>
          <w:sz w:val="24"/>
          <w:szCs w:val="24"/>
        </w:rPr>
      </w:pPr>
      <w:r w:rsidRPr="005A3F18">
        <w:rPr>
          <w:rFonts w:ascii="Times New Roman" w:hAnsi="Times New Roman" w:cs="Times New Roman"/>
          <w:sz w:val="24"/>
          <w:szCs w:val="24"/>
        </w:rPr>
        <w:t>The following documentation must be submitted:</w:t>
      </w:r>
    </w:p>
    <w:p w14:paraId="1241D486" w14:textId="33F39513" w:rsidR="005A3F18" w:rsidRPr="00B52A0F" w:rsidRDefault="005A3F18" w:rsidP="00B52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2A0F">
        <w:rPr>
          <w:rFonts w:ascii="Times New Roman" w:hAnsi="Times New Roman" w:cs="Times New Roman"/>
          <w:b/>
          <w:bCs/>
          <w:sz w:val="24"/>
          <w:szCs w:val="24"/>
        </w:rPr>
        <w:t xml:space="preserve">Completed EMR </w:t>
      </w:r>
      <w:r w:rsidR="00F60617">
        <w:rPr>
          <w:rFonts w:ascii="Times New Roman" w:hAnsi="Times New Roman" w:cs="Times New Roman"/>
          <w:b/>
          <w:bCs/>
          <w:sz w:val="24"/>
          <w:szCs w:val="24"/>
        </w:rPr>
        <w:t>spreadsheet</w:t>
      </w:r>
    </w:p>
    <w:p w14:paraId="0282CA49" w14:textId="22AAC309" w:rsidR="005A3F18" w:rsidRPr="00B52A0F" w:rsidRDefault="005A3F18" w:rsidP="00B52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2A0F">
        <w:rPr>
          <w:rFonts w:ascii="Times New Roman" w:hAnsi="Times New Roman" w:cs="Times New Roman"/>
          <w:b/>
          <w:bCs/>
          <w:sz w:val="24"/>
          <w:szCs w:val="24"/>
        </w:rPr>
        <w:t>All denial letters (including final denial letter)</w:t>
      </w:r>
    </w:p>
    <w:p w14:paraId="6E970F6F" w14:textId="0C08EE8A" w:rsidR="005A3F18" w:rsidRDefault="005A3F18" w:rsidP="00B52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2A0F">
        <w:rPr>
          <w:rFonts w:ascii="Times New Roman" w:hAnsi="Times New Roman" w:cs="Times New Roman"/>
          <w:sz w:val="24"/>
          <w:szCs w:val="24"/>
        </w:rPr>
        <w:t>Optional: Any relevant documentation not previously submitted to the MCE</w:t>
      </w:r>
      <w:r w:rsidR="00693CB3">
        <w:rPr>
          <w:rFonts w:ascii="Times New Roman" w:hAnsi="Times New Roman" w:cs="Times New Roman"/>
          <w:sz w:val="24"/>
          <w:szCs w:val="24"/>
        </w:rPr>
        <w:t>.</w:t>
      </w:r>
    </w:p>
    <w:p w14:paraId="2A72CA1F" w14:textId="070FF119" w:rsidR="00F60617" w:rsidRPr="002C0621" w:rsidRDefault="00BE5560" w:rsidP="002C0621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</w:t>
      </w:r>
      <w:r w:rsidR="008D026C">
        <w:rPr>
          <w:rFonts w:ascii="Times New Roman" w:hAnsi="Times New Roman" w:cs="Times New Roman"/>
          <w:sz w:val="24"/>
          <w:szCs w:val="24"/>
        </w:rPr>
        <w:t xml:space="preserve">ist each </w:t>
      </w:r>
      <w:r>
        <w:rPr>
          <w:rFonts w:ascii="Times New Roman" w:hAnsi="Times New Roman" w:cs="Times New Roman"/>
          <w:sz w:val="24"/>
          <w:szCs w:val="24"/>
        </w:rPr>
        <w:t xml:space="preserve">individual </w:t>
      </w:r>
      <w:r w:rsidR="008D026C">
        <w:rPr>
          <w:rFonts w:ascii="Times New Roman" w:hAnsi="Times New Roman" w:cs="Times New Roman"/>
          <w:sz w:val="24"/>
          <w:szCs w:val="24"/>
        </w:rPr>
        <w:t>case on a separate line</w:t>
      </w:r>
      <w:r>
        <w:rPr>
          <w:rFonts w:ascii="Times New Roman" w:hAnsi="Times New Roman" w:cs="Times New Roman"/>
          <w:sz w:val="24"/>
          <w:szCs w:val="24"/>
        </w:rPr>
        <w:t xml:space="preserve"> on the spreadsheet. </w:t>
      </w:r>
      <w:r w:rsidR="009B0BC7">
        <w:rPr>
          <w:rFonts w:ascii="Times New Roman" w:hAnsi="Times New Roman" w:cs="Times New Roman"/>
          <w:sz w:val="24"/>
          <w:szCs w:val="24"/>
        </w:rPr>
        <w:t xml:space="preserve">All fields in red on the spreadsheet </w:t>
      </w:r>
      <w:r w:rsidR="009727A4">
        <w:rPr>
          <w:rFonts w:ascii="Times New Roman" w:hAnsi="Times New Roman" w:cs="Times New Roman"/>
          <w:sz w:val="24"/>
          <w:szCs w:val="24"/>
        </w:rPr>
        <w:t xml:space="preserve">must be filled in </w:t>
      </w:r>
      <w:r w:rsidR="00372DDD">
        <w:rPr>
          <w:rFonts w:ascii="Times New Roman" w:hAnsi="Times New Roman" w:cs="Times New Roman"/>
          <w:sz w:val="24"/>
          <w:szCs w:val="24"/>
        </w:rPr>
        <w:t xml:space="preserve">for cases to be accepted. If any fields are left blank, </w:t>
      </w:r>
      <w:r w:rsidR="0016532E">
        <w:rPr>
          <w:rFonts w:ascii="Times New Roman" w:hAnsi="Times New Roman" w:cs="Times New Roman"/>
          <w:sz w:val="24"/>
          <w:szCs w:val="24"/>
        </w:rPr>
        <w:t xml:space="preserve">Permedion will email the provider asking for </w:t>
      </w:r>
      <w:r w:rsidR="00F94F88">
        <w:rPr>
          <w:rFonts w:ascii="Times New Roman" w:hAnsi="Times New Roman" w:cs="Times New Roman"/>
          <w:sz w:val="24"/>
          <w:szCs w:val="24"/>
        </w:rPr>
        <w:t>the spreadsheet to be completed</w:t>
      </w:r>
      <w:r w:rsidR="00BE52B2">
        <w:rPr>
          <w:rFonts w:ascii="Times New Roman" w:hAnsi="Times New Roman" w:cs="Times New Roman"/>
          <w:sz w:val="24"/>
          <w:szCs w:val="24"/>
        </w:rPr>
        <w:t xml:space="preserve"> prior to acceptance of the EMR case(s).</w:t>
      </w:r>
    </w:p>
    <w:p w14:paraId="64BEBA63" w14:textId="4DB3D56F" w:rsidR="005A3F18" w:rsidRPr="005A3F18" w:rsidRDefault="005A3F18" w:rsidP="005A3F18">
      <w:pPr>
        <w:rPr>
          <w:rFonts w:ascii="Times New Roman" w:hAnsi="Times New Roman" w:cs="Times New Roman"/>
          <w:sz w:val="24"/>
          <w:szCs w:val="24"/>
        </w:rPr>
      </w:pPr>
      <w:r w:rsidRPr="005A3F18">
        <w:rPr>
          <w:rFonts w:ascii="Times New Roman" w:hAnsi="Times New Roman" w:cs="Times New Roman"/>
          <w:sz w:val="24"/>
          <w:szCs w:val="24"/>
        </w:rPr>
        <w:t>Submitting documentation:</w:t>
      </w:r>
    </w:p>
    <w:p w14:paraId="1E0FAFAB" w14:textId="55200865" w:rsidR="00BE5560" w:rsidRPr="002C0621" w:rsidRDefault="0017781B" w:rsidP="002C0621">
      <w:pPr>
        <w:spacing w:after="360"/>
        <w:rPr>
          <w:rFonts w:ascii="Times New Roman" w:hAnsi="Times New Roman" w:cs="Times New Roman"/>
          <w:color w:val="0079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spreadsheets along with </w:t>
      </w:r>
      <w:r w:rsidR="00F60617">
        <w:rPr>
          <w:rFonts w:ascii="Times New Roman" w:hAnsi="Times New Roman" w:cs="Times New Roman"/>
          <w:sz w:val="24"/>
          <w:szCs w:val="24"/>
        </w:rPr>
        <w:t xml:space="preserve">additional clinical documents should be sent to </w:t>
      </w:r>
      <w:r w:rsidR="00F60617" w:rsidRPr="002C0621">
        <w:rPr>
          <w:rFonts w:ascii="Times New Roman" w:hAnsi="Times New Roman" w:cs="Times New Roman"/>
          <w:color w:val="0079BF"/>
          <w:sz w:val="24"/>
          <w:szCs w:val="24"/>
          <w:u w:val="single"/>
        </w:rPr>
        <w:t>IMR@gainwelltechnologies.com</w:t>
      </w:r>
    </w:p>
    <w:p w14:paraId="6CB395E6" w14:textId="78569B8B" w:rsidR="00BE5560" w:rsidRDefault="00CC489F" w:rsidP="00B52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about this process, </w:t>
      </w:r>
      <w:r w:rsidR="006B78C3">
        <w:rPr>
          <w:rFonts w:ascii="Times New Roman" w:hAnsi="Times New Roman" w:cs="Times New Roman"/>
          <w:sz w:val="24"/>
          <w:szCs w:val="24"/>
        </w:rPr>
        <w:t xml:space="preserve">Permedion can be contacted </w:t>
      </w:r>
      <w:r>
        <w:rPr>
          <w:rFonts w:ascii="Times New Roman" w:hAnsi="Times New Roman" w:cs="Times New Roman"/>
          <w:sz w:val="24"/>
          <w:szCs w:val="24"/>
        </w:rPr>
        <w:t>via 2 methods</w:t>
      </w:r>
    </w:p>
    <w:p w14:paraId="0AEB77B6" w14:textId="202E484A" w:rsidR="00CC489F" w:rsidRDefault="00CC489F" w:rsidP="00CC48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</w:t>
      </w:r>
      <w:r w:rsidR="00531A71">
        <w:rPr>
          <w:rFonts w:ascii="Times New Roman" w:hAnsi="Times New Roman" w:cs="Times New Roman"/>
          <w:sz w:val="24"/>
          <w:szCs w:val="24"/>
        </w:rPr>
        <w:t>Permedion at – 800-473-0802, option 2</w:t>
      </w:r>
    </w:p>
    <w:p w14:paraId="040ABB85" w14:textId="7E1367EE" w:rsidR="00C92908" w:rsidRPr="002C0621" w:rsidRDefault="00531A71" w:rsidP="002C06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Perme</w:t>
      </w:r>
      <w:r w:rsidR="00A70F71">
        <w:rPr>
          <w:rFonts w:ascii="Times New Roman" w:hAnsi="Times New Roman" w:cs="Times New Roman"/>
          <w:sz w:val="24"/>
          <w:szCs w:val="24"/>
        </w:rPr>
        <w:t>dion at – IMR@gainwelltechnologies.com</w:t>
      </w:r>
    </w:p>
    <w:sectPr w:rsidR="00C92908" w:rsidRPr="002C06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99C0" w14:textId="77777777" w:rsidR="007265C7" w:rsidRDefault="007265C7" w:rsidP="00693CB3">
      <w:pPr>
        <w:spacing w:after="0" w:line="240" w:lineRule="auto"/>
      </w:pPr>
      <w:r>
        <w:separator/>
      </w:r>
    </w:p>
  </w:endnote>
  <w:endnote w:type="continuationSeparator" w:id="0">
    <w:p w14:paraId="6E2609DA" w14:textId="77777777" w:rsidR="007265C7" w:rsidRDefault="007265C7" w:rsidP="0069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4E35" w14:textId="77777777" w:rsidR="007265C7" w:rsidRDefault="007265C7" w:rsidP="00693CB3">
      <w:pPr>
        <w:spacing w:after="0" w:line="240" w:lineRule="auto"/>
      </w:pPr>
      <w:r>
        <w:separator/>
      </w:r>
    </w:p>
  </w:footnote>
  <w:footnote w:type="continuationSeparator" w:id="0">
    <w:p w14:paraId="70C2D643" w14:textId="77777777" w:rsidR="007265C7" w:rsidRDefault="007265C7" w:rsidP="0069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4E90D" w14:textId="54EAB34F" w:rsidR="00693CB3" w:rsidRDefault="00693CB3">
    <w:pPr>
      <w:pStyle w:val="Header"/>
    </w:pPr>
    <w:r w:rsidRPr="00693CB3">
      <w:rPr>
        <w:noProof/>
      </w:rPr>
      <w:drawing>
        <wp:anchor distT="0" distB="0" distL="114300" distR="114300" simplePos="0" relativeHeight="251658240" behindDoc="0" locked="0" layoutInCell="1" allowOverlap="1" wp14:anchorId="71AB4165" wp14:editId="69F2A7DF">
          <wp:simplePos x="0" y="0"/>
          <wp:positionH relativeFrom="column">
            <wp:posOffset>-381000</wp:posOffset>
          </wp:positionH>
          <wp:positionV relativeFrom="paragraph">
            <wp:posOffset>-38100</wp:posOffset>
          </wp:positionV>
          <wp:extent cx="2291650" cy="495300"/>
          <wp:effectExtent l="0" t="0" r="0" b="0"/>
          <wp:wrapSquare wrapText="bothSides"/>
          <wp:docPr id="1772990188" name="Picture 2" descr="Permedion a Gainwell Technologies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90188" name="Picture 2" descr="Permedion a Gainwell Technologies Comp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2810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E6676"/>
    <w:multiLevelType w:val="hybridMultilevel"/>
    <w:tmpl w:val="FF74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52C9"/>
    <w:multiLevelType w:val="hybridMultilevel"/>
    <w:tmpl w:val="A2704082"/>
    <w:lvl w:ilvl="0" w:tplc="292A7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8643">
    <w:abstractNumId w:val="0"/>
  </w:num>
  <w:num w:numId="2" w16cid:durableId="1708917283">
    <w:abstractNumId w:val="2"/>
  </w:num>
  <w:num w:numId="3" w16cid:durableId="155176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C9"/>
    <w:rsid w:val="0016532E"/>
    <w:rsid w:val="0017781B"/>
    <w:rsid w:val="002C0621"/>
    <w:rsid w:val="002F194B"/>
    <w:rsid w:val="00372DDD"/>
    <w:rsid w:val="00501BC9"/>
    <w:rsid w:val="00531A71"/>
    <w:rsid w:val="005A3F18"/>
    <w:rsid w:val="00693CB3"/>
    <w:rsid w:val="006B78C3"/>
    <w:rsid w:val="006D2CBF"/>
    <w:rsid w:val="007265C7"/>
    <w:rsid w:val="0086611D"/>
    <w:rsid w:val="008D026C"/>
    <w:rsid w:val="009727A4"/>
    <w:rsid w:val="009B0BC7"/>
    <w:rsid w:val="00A70F71"/>
    <w:rsid w:val="00B52A0F"/>
    <w:rsid w:val="00B8312F"/>
    <w:rsid w:val="00BE52B2"/>
    <w:rsid w:val="00BE5560"/>
    <w:rsid w:val="00C912A0"/>
    <w:rsid w:val="00C92908"/>
    <w:rsid w:val="00CC489F"/>
    <w:rsid w:val="00D25AC0"/>
    <w:rsid w:val="00D6703D"/>
    <w:rsid w:val="00D93C2B"/>
    <w:rsid w:val="00DB63FE"/>
    <w:rsid w:val="00F60617"/>
    <w:rsid w:val="00F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1753"/>
  <w15:chartTrackingRefBased/>
  <w15:docId w15:val="{F02FAFC2-7772-4C80-9EA9-BDC68CC2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B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B3"/>
  </w:style>
  <w:style w:type="paragraph" w:styleId="Footer">
    <w:name w:val="footer"/>
    <w:basedOn w:val="Normal"/>
    <w:link w:val="FooterChar"/>
    <w:uiPriority w:val="99"/>
    <w:unhideWhenUsed/>
    <w:rsid w:val="0069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816D6-A36E-944C-9709-8A3C51324D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1137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Medicaid MCE External Medical Review Bulk Upload Instructions</dc:title>
  <dc:subject/>
  <dc:creator>Mullins, Barbie</dc:creator>
  <cp:keywords/>
  <dc:description/>
  <cp:lastModifiedBy>Ginny E. Hong</cp:lastModifiedBy>
  <cp:revision>4</cp:revision>
  <dcterms:created xsi:type="dcterms:W3CDTF">2024-12-06T15:12:00Z</dcterms:created>
  <dcterms:modified xsi:type="dcterms:W3CDTF">2025-02-25T15:29:00Z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2025-02-25T15:29:31Z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7f83ab93-1000-42e2-88db-5805d6b5f787</vt:lpwstr>
  </property>
  <property fmtid="{D5CDD505-2E9C-101B-9397-08002B2CF9AE}" pid="8" name="MSIP_Label_b0b638e0-f50f-48bd-992f-bcb55031a99f_ContentBits">
    <vt:lpwstr>0</vt:lpwstr>
  </property>
  <property fmtid="{D5CDD505-2E9C-101B-9397-08002B2CF9AE}" pid="9" name="MSIP_Label_b0b638e0-f50f-48bd-992f-bcb55031a99f_Tag">
    <vt:lpwstr>50, 3, 0, 1</vt:lpwstr>
  </property>
</Properties>
</file>